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E54865">
        <w:rPr>
          <w:b/>
          <w:bCs/>
          <w:color w:val="111111"/>
          <w:sz w:val="28"/>
          <w:szCs w:val="28"/>
          <w:bdr w:val="none" w:sz="0" w:space="0" w:color="auto" w:frame="1"/>
        </w:rPr>
        <w:t>CÁC ĐIỀU KIỆN CỦA PHÁP NHÂN</w:t>
      </w:r>
      <w:r w:rsidR="00D77DA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Theo </w:t>
      </w:r>
      <w:proofErr w:type="spellStart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>quy</w:t>
      </w:r>
      <w:proofErr w:type="spellEnd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</w:t>
      </w:r>
      <w:proofErr w:type="spellStart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>định</w:t>
      </w:r>
      <w:proofErr w:type="spellEnd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</w:t>
      </w:r>
      <w:proofErr w:type="spellStart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>tại</w:t>
      </w:r>
      <w:proofErr w:type="spellEnd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</w:t>
      </w:r>
      <w:proofErr w:type="spellStart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>Điều</w:t>
      </w:r>
      <w:proofErr w:type="spellEnd"/>
      <w:r w:rsidR="00D77DA6"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84</w:t>
      </w:r>
      <w:r w:rsidR="00D77DA6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BFBFB"/>
        </w:rPr>
        <w:t> </w:t>
      </w:r>
      <w:hyperlink r:id="rId5" w:history="1">
        <w:r w:rsidR="00D77DA6" w:rsidRPr="00D77DA6">
          <w:rPr>
            <w:rStyle w:val="Hyperlink"/>
          </w:rPr>
          <w:t xml:space="preserve">BLDS </w:t>
        </w:r>
        <w:proofErr w:type="spellStart"/>
        <w:r w:rsidR="00D77DA6" w:rsidRPr="00D77DA6">
          <w:rPr>
            <w:rStyle w:val="Hyperlink"/>
          </w:rPr>
          <w:t>năm</w:t>
        </w:r>
        <w:proofErr w:type="spellEnd"/>
        <w:r w:rsidR="00D77DA6" w:rsidRPr="00D77DA6">
          <w:rPr>
            <w:rStyle w:val="Hyperlink"/>
          </w:rPr>
          <w:t xml:space="preserve"> 2005</w:t>
        </w:r>
      </w:hyperlink>
      <w:r w:rsidR="00D77DA6" w:rsidRPr="00D77DA6">
        <w:t> (</w:t>
      </w:r>
      <w:hyperlink r:id="rId6" w:history="1">
        <w:r w:rsidR="00D77DA6" w:rsidRPr="00D77DA6">
          <w:rPr>
            <w:rStyle w:val="Hyperlink"/>
          </w:rPr>
          <w:t>BLDS</w:t>
        </w:r>
      </w:hyperlink>
      <w:r w:rsidR="00D77DA6" w:rsidRPr="00D77DA6">
        <w:t>)</w:t>
      </w:r>
    </w:p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Thứ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nhất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, 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  <w:r w:rsidRPr="00E54865">
        <w:rPr>
          <w:i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phép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hoặc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thừa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nói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thì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tục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sở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mục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đích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</w:t>
      </w:r>
      <w:bookmarkStart w:id="0" w:name="_GoBack"/>
      <w:bookmarkEnd w:id="0"/>
      <w:r w:rsidRPr="00E54865">
        <w:rPr>
          <w:color w:val="111111"/>
          <w:sz w:val="28"/>
          <w:szCs w:val="28"/>
          <w:bdr w:val="none" w:sz="0" w:space="0" w:color="auto" w:frame="1"/>
        </w:rPr>
        <w:t>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nước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bằng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thẩm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quyền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phép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hoặc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Tính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giúp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tham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tồn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tại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dưới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kiểm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soát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đảm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bảo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nước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nhằm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phù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nước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thì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coi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</w:p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Thứ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hai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, 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cấu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chặt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chẽ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  <w:r w:rsidRPr="00E54865">
        <w:rPr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người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cùng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mục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đích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ích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những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nhằm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mục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đích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cấu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chặt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giúp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trở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thống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hoạt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động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cấu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chặt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nghĩa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sắp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xếp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nguồn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bộ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như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phòng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ban…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từng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bộ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những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trong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Tuy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chưa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xác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cần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thiết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vì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trong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số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trường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Chẳng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hạn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hữu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hạn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…)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ứng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nhưng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vẫn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coi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</w:p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Thứ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ba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, 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độc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cá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tự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chịu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trách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bằng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đó</w:t>
      </w:r>
      <w:proofErr w:type="gram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  <w:r w:rsidRPr="00E54865">
        <w:rPr>
          <w:color w:val="111111"/>
          <w:sz w:val="28"/>
          <w:szCs w:val="28"/>
          <w:bdr w:val="none" w:sz="0" w:space="0" w:color="auto" w:frame="1"/>
        </w:rPr>
        <w:t>Giống</w:t>
      </w:r>
      <w:proofErr w:type="spellEnd"/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như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quyền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gánh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nghĩa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tham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cần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lượng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còn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độc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đầy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quyền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quyền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sở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hữu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chiếm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hữu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dụng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đoạt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chịu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ràng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buộc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ai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đảm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bảo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tư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Mặt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nguyên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tắc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đẳng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giữa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chịu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bằng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vi</w:t>
      </w:r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phạm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nghĩa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gánh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chỉ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phải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chịu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trong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phạm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góp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trừ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trường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công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danh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Đây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cũng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yếu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tố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biệt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Thứ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tư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danh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tham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gia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cách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độc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  <w:r w:rsidRPr="00E54865">
        <w:rPr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xuất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từ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việc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độc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việc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sở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hữu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riêng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hưởng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quyền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chịu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nghĩa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vụ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tham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Mặt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chủ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chuyển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quyên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sở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hữu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những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muốn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do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cần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thống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về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mặt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trong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việc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dụng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khối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Dựa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tiêu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luật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trừu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tượng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hóa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“ý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trao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tư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danh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tham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gia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quan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Tuy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nhiên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coi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đây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điều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kiện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chưa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vì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việc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danh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mình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chỉ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một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hệ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tất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yếu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thành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sản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độc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lập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cá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chức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</w:p>
    <w:p w:rsidR="00E54865" w:rsidRPr="00E54865" w:rsidRDefault="00E54865" w:rsidP="00E54865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Trên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đây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những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tích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của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bài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viết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nhằm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làm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rõ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pháp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nhân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54865">
        <w:rPr>
          <w:color w:val="111111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 BLDS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năm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2005.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vọng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Dự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thảo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 </w:t>
      </w:r>
      <w:r w:rsidRPr="00E54865">
        <w:rPr>
          <w:color w:val="111111"/>
          <w:sz w:val="28"/>
          <w:szCs w:val="28"/>
        </w:rPr>
        <w:t>BLDS</w:t>
      </w:r>
      <w:r w:rsidRPr="00E54865">
        <w:rPr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sắp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tới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sẽ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có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sửa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đổi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bổ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phù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hợp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để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khái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niệm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này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được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định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nghĩa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chính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xác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và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vận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dụng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trong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thực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tế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dễ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dàng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hiệu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quả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4865">
        <w:rPr>
          <w:color w:val="111111"/>
          <w:sz w:val="28"/>
          <w:szCs w:val="28"/>
          <w:bdr w:val="none" w:sz="0" w:space="0" w:color="auto" w:frame="1"/>
        </w:rPr>
        <w:t>hơn</w:t>
      </w:r>
      <w:proofErr w:type="spellEnd"/>
      <w:r w:rsidRPr="00E54865">
        <w:rPr>
          <w:color w:val="111111"/>
          <w:sz w:val="28"/>
          <w:szCs w:val="28"/>
          <w:bdr w:val="none" w:sz="0" w:space="0" w:color="auto" w:frame="1"/>
        </w:rPr>
        <w:t>.</w:t>
      </w:r>
    </w:p>
    <w:p w:rsidR="00204638" w:rsidRPr="00E54865" w:rsidRDefault="00204638" w:rsidP="00E54865">
      <w:pPr>
        <w:rPr>
          <w:rFonts w:ascii="Times New Roman" w:hAnsi="Times New Roman" w:cs="Times New Roman"/>
          <w:sz w:val="28"/>
          <w:szCs w:val="28"/>
        </w:rPr>
      </w:pPr>
    </w:p>
    <w:sectPr w:rsidR="00204638" w:rsidRPr="00E54865" w:rsidSect="00E54865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65"/>
    <w:rsid w:val="00204638"/>
    <w:rsid w:val="00D77DA6"/>
    <w:rsid w:val="00E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865"/>
    <w:rPr>
      <w:b/>
      <w:bCs/>
    </w:rPr>
  </w:style>
  <w:style w:type="character" w:styleId="Emphasis">
    <w:name w:val="Emphasis"/>
    <w:basedOn w:val="DefaultParagraphFont"/>
    <w:uiPriority w:val="20"/>
    <w:qFormat/>
    <w:rsid w:val="00E54865"/>
    <w:rPr>
      <w:i/>
      <w:iCs/>
    </w:rPr>
  </w:style>
  <w:style w:type="character" w:customStyle="1" w:styleId="apple-converted-space">
    <w:name w:val="apple-converted-space"/>
    <w:basedOn w:val="DefaultParagraphFont"/>
    <w:rsid w:val="00E54865"/>
  </w:style>
  <w:style w:type="character" w:styleId="Hyperlink">
    <w:name w:val="Hyperlink"/>
    <w:basedOn w:val="DefaultParagraphFont"/>
    <w:uiPriority w:val="99"/>
    <w:unhideWhenUsed/>
    <w:rsid w:val="00E54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865"/>
    <w:rPr>
      <w:b/>
      <w:bCs/>
    </w:rPr>
  </w:style>
  <w:style w:type="character" w:styleId="Emphasis">
    <w:name w:val="Emphasis"/>
    <w:basedOn w:val="DefaultParagraphFont"/>
    <w:uiPriority w:val="20"/>
    <w:qFormat/>
    <w:rsid w:val="00E54865"/>
    <w:rPr>
      <w:i/>
      <w:iCs/>
    </w:rPr>
  </w:style>
  <w:style w:type="character" w:customStyle="1" w:styleId="apple-converted-space">
    <w:name w:val="apple-converted-space"/>
    <w:basedOn w:val="DefaultParagraphFont"/>
    <w:rsid w:val="00E54865"/>
  </w:style>
  <w:style w:type="character" w:styleId="Hyperlink">
    <w:name w:val="Hyperlink"/>
    <w:basedOn w:val="DefaultParagraphFont"/>
    <w:uiPriority w:val="99"/>
    <w:unhideWhenUsed/>
    <w:rsid w:val="00E5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atduonggia.vn/bo-luat-dan-su-so-33-2005-qh11-ngay-14-thang-6-nam-2005" TargetMode="External"/><Relationship Id="rId5" Type="http://schemas.openxmlformats.org/officeDocument/2006/relationships/hyperlink" Target="https://luatduonggia.vn/bo-luat-dan-su-so-33-2005-qh11-ngay-14-thang-6-nam-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2016-06-19T06:41:00Z</dcterms:created>
  <dcterms:modified xsi:type="dcterms:W3CDTF">2016-06-19T06:46:00Z</dcterms:modified>
</cp:coreProperties>
</file>